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4D7B81EE"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49506C">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49506C">
        <w:rPr>
          <w:rFonts w:ascii="Arial" w:eastAsia="MS Mincho" w:hAnsi="Arial" w:cs="Arial"/>
          <w:b/>
          <w:bCs/>
          <w:sz w:val="24"/>
          <w:szCs w:val="24"/>
        </w:rPr>
        <w:t>9438</w:t>
      </w:r>
    </w:p>
    <w:bookmarkEnd w:id="0"/>
    <w:p w14:paraId="32DB597E" w14:textId="41C7AE3E" w:rsidR="007775F7" w:rsidRPr="009B0051" w:rsidRDefault="0046471D" w:rsidP="006C438B">
      <w:pPr>
        <w:widowControl w:val="0"/>
        <w:tabs>
          <w:tab w:val="right" w:pos="9639"/>
        </w:tabs>
        <w:spacing w:after="0"/>
        <w:rPr>
          <w:rFonts w:ascii="Arial" w:eastAsia="MS Mincho" w:hAnsi="Arial"/>
          <w:b/>
          <w:bCs/>
          <w:sz w:val="24"/>
          <w:szCs w:val="24"/>
        </w:rPr>
      </w:pPr>
      <w:r w:rsidRPr="009B0051">
        <w:rPr>
          <w:rFonts w:ascii="Arial" w:eastAsia="MS Mincho" w:hAnsi="Arial" w:cs="Arial"/>
          <w:b/>
          <w:bCs/>
          <w:sz w:val="24"/>
          <w:szCs w:val="24"/>
        </w:rPr>
        <w:t xml:space="preserve">Online, </w:t>
      </w:r>
      <w:r w:rsidR="0030707A" w:rsidRPr="009B0051">
        <w:rPr>
          <w:rFonts w:ascii="Arial" w:eastAsia="MS Mincho" w:hAnsi="Arial" w:cs="Arial"/>
          <w:b/>
          <w:bCs/>
          <w:sz w:val="24"/>
          <w:szCs w:val="24"/>
        </w:rPr>
        <w:t>November</w:t>
      </w:r>
      <w:r w:rsidR="00E01941" w:rsidRPr="009B0051">
        <w:rPr>
          <w:rFonts w:ascii="Arial" w:eastAsia="MS Mincho" w:hAnsi="Arial" w:cs="Arial"/>
          <w:b/>
          <w:bCs/>
          <w:sz w:val="24"/>
          <w:szCs w:val="24"/>
        </w:rPr>
        <w:t xml:space="preserve"> </w:t>
      </w:r>
      <w:r w:rsidR="0030707A" w:rsidRPr="009B0051">
        <w:rPr>
          <w:rFonts w:ascii="Arial" w:eastAsia="MS Mincho" w:hAnsi="Arial" w:cs="Arial"/>
          <w:b/>
          <w:bCs/>
          <w:sz w:val="24"/>
          <w:szCs w:val="24"/>
        </w:rPr>
        <w:t>1</w:t>
      </w:r>
      <w:r w:rsidR="0030707A" w:rsidRPr="009B0051">
        <w:rPr>
          <w:rFonts w:ascii="Arial" w:eastAsia="MS Mincho" w:hAnsi="Arial" w:cs="Arial"/>
          <w:b/>
          <w:bCs/>
          <w:sz w:val="24"/>
          <w:szCs w:val="24"/>
          <w:vertAlign w:val="superscript"/>
        </w:rPr>
        <w:t>st</w:t>
      </w:r>
      <w:r w:rsidRPr="009B0051">
        <w:rPr>
          <w:rFonts w:ascii="Arial" w:eastAsia="MS Mincho" w:hAnsi="Arial" w:cs="Arial"/>
          <w:b/>
          <w:bCs/>
          <w:sz w:val="24"/>
          <w:szCs w:val="24"/>
        </w:rPr>
        <w:t xml:space="preserve"> – </w:t>
      </w:r>
      <w:r w:rsidR="0030707A" w:rsidRPr="009B0051">
        <w:rPr>
          <w:rFonts w:ascii="Arial" w:eastAsia="MS Mincho" w:hAnsi="Arial" w:cs="Arial"/>
          <w:b/>
          <w:bCs/>
          <w:sz w:val="24"/>
          <w:szCs w:val="24"/>
        </w:rPr>
        <w:t>November</w:t>
      </w:r>
      <w:r w:rsidRPr="009B0051">
        <w:rPr>
          <w:rFonts w:ascii="Arial" w:eastAsia="MS Mincho" w:hAnsi="Arial" w:cs="Arial"/>
          <w:b/>
          <w:bCs/>
          <w:sz w:val="24"/>
          <w:szCs w:val="24"/>
        </w:rPr>
        <w:t xml:space="preserve"> </w:t>
      </w:r>
      <w:r w:rsidR="0030707A" w:rsidRPr="009B0051">
        <w:rPr>
          <w:rFonts w:ascii="Arial" w:eastAsia="MS Mincho" w:hAnsi="Arial" w:cs="Arial"/>
          <w:b/>
          <w:bCs/>
          <w:sz w:val="24"/>
          <w:szCs w:val="24"/>
        </w:rPr>
        <w:t>12</w:t>
      </w:r>
      <w:r w:rsidRPr="009B0051">
        <w:rPr>
          <w:rFonts w:ascii="Arial" w:eastAsia="MS Mincho" w:hAnsi="Arial" w:cs="Arial"/>
          <w:b/>
          <w:bCs/>
          <w:sz w:val="24"/>
          <w:szCs w:val="24"/>
          <w:vertAlign w:val="superscript"/>
        </w:rPr>
        <w:t>th</w:t>
      </w:r>
      <w:r w:rsidRPr="009B0051">
        <w:rPr>
          <w:rFonts w:ascii="Arial" w:eastAsia="MS Mincho" w:hAnsi="Arial" w:cs="Arial"/>
          <w:b/>
          <w:bCs/>
          <w:sz w:val="24"/>
          <w:szCs w:val="24"/>
        </w:rPr>
        <w:t>, 2021</w:t>
      </w:r>
      <w:r w:rsidR="00A877F1" w:rsidRPr="009B0051">
        <w:rPr>
          <w:rFonts w:ascii="Arial" w:hAnsi="Arial" w:cs="Arial"/>
          <w:b/>
          <w:bCs/>
          <w:sz w:val="24"/>
          <w:szCs w:val="24"/>
          <w:lang w:val="en-US" w:eastAsia="en-US"/>
        </w:rPr>
        <w:t xml:space="preserve">                </w:t>
      </w:r>
      <w:r w:rsidR="009B0051">
        <w:rPr>
          <w:rFonts w:ascii="Arial" w:hAnsi="Arial" w:cs="Arial"/>
          <w:b/>
          <w:bCs/>
          <w:sz w:val="24"/>
          <w:szCs w:val="24"/>
          <w:lang w:val="en-US" w:eastAsia="en-US"/>
        </w:rPr>
        <w:t xml:space="preserve"> </w:t>
      </w:r>
      <w:bookmarkStart w:id="2" w:name="_GoBack"/>
      <w:bookmarkEnd w:id="2"/>
      <w:r w:rsidR="00FE4DB6" w:rsidRPr="009B0051">
        <w:rPr>
          <w:rFonts w:ascii="Arial" w:hAnsi="Arial" w:cs="Arial"/>
          <w:b/>
          <w:bCs/>
          <w:i/>
          <w:sz w:val="24"/>
          <w:szCs w:val="24"/>
          <w:lang w:val="en-US" w:eastAsia="en-US"/>
        </w:rPr>
        <w:t>Revision of R2-2107055</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2BF49C8A"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143492">
        <w:rPr>
          <w:rFonts w:ascii="Arial" w:hAnsi="Arial" w:cs="Arial"/>
          <w:b/>
          <w:bCs/>
          <w:szCs w:val="24"/>
          <w:lang w:val="en-US" w:eastAsia="en-US"/>
        </w:rPr>
        <w:t>Handling of non-SDT Data Arrival</w:t>
      </w:r>
      <w:r w:rsidR="00DE04E7">
        <w:rPr>
          <w:rFonts w:ascii="Arial" w:hAnsi="Arial" w:cs="Arial"/>
          <w:b/>
          <w:bCs/>
          <w:szCs w:val="24"/>
          <w:lang w:val="en-US" w:eastAsia="en-US"/>
        </w:rPr>
        <w:t xml:space="preserve"> via BSR</w:t>
      </w:r>
    </w:p>
    <w:p w14:paraId="71383C8D" w14:textId="544E44C6"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0C1BC0">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0DFD0A40" w14:textId="6DD5F78C" w:rsidR="007B1ADF" w:rsidRDefault="002174DA" w:rsidP="007B1ADF">
      <w:pPr>
        <w:spacing w:line="240" w:lineRule="auto"/>
        <w:rPr>
          <w:noProof/>
          <w:lang w:eastAsia="ko-KR"/>
        </w:rPr>
      </w:pPr>
      <w:r>
        <w:rPr>
          <w:noProof/>
          <w:lang w:eastAsia="ko-KR"/>
        </w:rPr>
        <w:t xml:space="preserve">In past RAN2 meetings, the following agreements regarding the </w:t>
      </w:r>
      <w:r w:rsidR="00A722F0">
        <w:rPr>
          <w:rFonts w:hint="eastAsia"/>
          <w:noProof/>
        </w:rPr>
        <w:t>handling</w:t>
      </w:r>
      <w:r w:rsidR="00A722F0">
        <w:rPr>
          <w:noProof/>
          <w:lang w:eastAsia="ko-KR"/>
        </w:rPr>
        <w:t xml:space="preserve"> of non-SDT DRB with data arrival </w:t>
      </w:r>
      <w:r>
        <w:rPr>
          <w:noProof/>
          <w:lang w:eastAsia="ko-KR"/>
        </w:rPr>
        <w:t>had been achieved [1</w:t>
      </w:r>
      <w:r>
        <w:rPr>
          <w:rFonts w:hint="eastAsia"/>
          <w:noProof/>
        </w:rPr>
        <w:t>]</w:t>
      </w:r>
      <w:r>
        <w:rPr>
          <w:noProof/>
        </w:rPr>
        <w:t xml:space="preserve"> - </w:t>
      </w:r>
      <w:r>
        <w:rPr>
          <w:rFonts w:hint="eastAsia"/>
          <w:noProof/>
        </w:rPr>
        <w:t>[</w:t>
      </w:r>
      <w:r w:rsidR="00F378BF">
        <w:rPr>
          <w:noProof/>
          <w:lang w:eastAsia="ko-KR"/>
        </w:rPr>
        <w:t>2</w:t>
      </w:r>
      <w:r>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39908BAA" w:rsidR="007B1ADF" w:rsidRPr="00CC2B57" w:rsidRDefault="008D294D" w:rsidP="00E57608">
            <w:pPr>
              <w:spacing w:before="60" w:line="240" w:lineRule="auto"/>
              <w:rPr>
                <w:rFonts w:ascii="Arial" w:eastAsia="Malgun Gothic" w:hAnsi="Arial" w:cs="Arial"/>
                <w:b/>
                <w:noProof/>
                <w:sz w:val="20"/>
                <w:lang w:eastAsia="ko-KR"/>
              </w:rPr>
            </w:pPr>
            <w:r w:rsidRPr="00CC2B57">
              <w:rPr>
                <w:rFonts w:ascii="Arial" w:hAnsi="Arial" w:cs="Arial"/>
                <w:b/>
                <w:noProof/>
                <w:sz w:val="20"/>
                <w:lang w:eastAsia="ko-KR"/>
              </w:rPr>
              <w:t>RAN2#</w:t>
            </w:r>
            <w:r w:rsidR="008025FA" w:rsidRPr="00CC2B57">
              <w:rPr>
                <w:rFonts w:ascii="Arial" w:hAnsi="Arial" w:cs="Arial"/>
                <w:b/>
                <w:noProof/>
                <w:sz w:val="20"/>
                <w:lang w:eastAsia="ko-KR"/>
              </w:rPr>
              <w:t>11</w:t>
            </w:r>
            <w:r w:rsidR="00EC7AC7" w:rsidRPr="00CC2B57">
              <w:rPr>
                <w:rFonts w:ascii="Arial" w:hAnsi="Arial" w:cs="Arial"/>
                <w:b/>
                <w:noProof/>
                <w:sz w:val="20"/>
                <w:lang w:eastAsia="ko-KR"/>
              </w:rPr>
              <w:t>3</w:t>
            </w:r>
            <w:r w:rsidR="008025FA" w:rsidRPr="00CC2B57">
              <w:rPr>
                <w:rFonts w:ascii="Arial" w:hAnsi="Arial" w:cs="Arial"/>
                <w:b/>
                <w:noProof/>
                <w:sz w:val="20"/>
                <w:lang w:eastAsia="ko-KR"/>
              </w:rPr>
              <w:t>e</w:t>
            </w:r>
            <w:r w:rsidR="00096441" w:rsidRPr="00CC2B57">
              <w:rPr>
                <w:rFonts w:ascii="Arial" w:hAnsi="Arial" w:cs="Arial"/>
                <w:b/>
                <w:noProof/>
                <w:sz w:val="20"/>
                <w:lang w:eastAsia="ko-KR"/>
              </w:rPr>
              <w:t xml:space="preserve"> Agreement [1]</w:t>
            </w:r>
            <w:r w:rsidR="001052A4" w:rsidRPr="00CC2B57">
              <w:rPr>
                <w:rFonts w:ascii="Arial" w:hAnsi="Arial" w:cs="Arial"/>
                <w:b/>
                <w:noProof/>
                <w:sz w:val="20"/>
                <w:lang w:eastAsia="ko-KR"/>
              </w:rPr>
              <w:t>:</w:t>
            </w:r>
            <w:r w:rsidR="007B1ADF" w:rsidRPr="00CC2B57">
              <w:rPr>
                <w:rFonts w:ascii="Arial" w:hAnsi="Arial" w:cs="Arial"/>
                <w:b/>
                <w:noProof/>
                <w:sz w:val="20"/>
                <w:lang w:eastAsia="ko-KR"/>
              </w:rPr>
              <w:tab/>
            </w:r>
          </w:p>
          <w:p w14:paraId="38E4AF58" w14:textId="77777777" w:rsidR="002433C0" w:rsidRPr="00CC2B57" w:rsidRDefault="002433C0" w:rsidP="002433C0">
            <w:pPr>
              <w:pStyle w:val="af6"/>
              <w:widowControl w:val="0"/>
              <w:numPr>
                <w:ilvl w:val="0"/>
                <w:numId w:val="14"/>
              </w:numPr>
              <w:adjustRightInd w:val="0"/>
              <w:snapToGrid w:val="0"/>
              <w:ind w:firstLineChars="0"/>
              <w:jc w:val="both"/>
              <w:rPr>
                <w:rFonts w:ascii="Arial" w:hAnsi="Arial" w:cs="Arial"/>
                <w:sz w:val="20"/>
                <w:szCs w:val="20"/>
              </w:rPr>
            </w:pPr>
            <w:r w:rsidRPr="00CC2B57">
              <w:rPr>
                <w:rFonts w:ascii="Arial" w:hAnsi="Arial" w:cs="Arial"/>
                <w:sz w:val="20"/>
                <w:szCs w:val="20"/>
              </w:rPr>
              <w:t>The UE behaviour for handling of non-SDT data arrival after sending the first UL data packet is fully specified (i.e. not left to UE implementation).</w:t>
            </w:r>
          </w:p>
          <w:p w14:paraId="3CD1F985" w14:textId="64213118" w:rsidR="00023593" w:rsidRPr="00CC2B57" w:rsidRDefault="00182909" w:rsidP="002433C0">
            <w:pPr>
              <w:pStyle w:val="af6"/>
              <w:numPr>
                <w:ilvl w:val="0"/>
                <w:numId w:val="14"/>
              </w:numPr>
              <w:snapToGrid w:val="0"/>
              <w:spacing w:afterLines="50" w:after="120"/>
              <w:ind w:firstLineChars="0"/>
              <w:rPr>
                <w:rFonts w:ascii="Arial" w:eastAsia="Malgun Gothic" w:hAnsi="Arial" w:cs="Arial"/>
                <w:noProof/>
                <w:sz w:val="20"/>
                <w:szCs w:val="20"/>
                <w:lang w:eastAsia="ko-KR"/>
              </w:rPr>
            </w:pPr>
            <w:r w:rsidRPr="00CC2B57">
              <w:rPr>
                <w:rFonts w:ascii="Arial" w:eastAsia="Malgun Gothic" w:hAnsi="Arial" w:cs="Arial"/>
                <w:noProof/>
                <w:sz w:val="20"/>
                <w:szCs w:val="20"/>
                <w:lang w:eastAsia="ko-KR"/>
              </w:rPr>
              <w:t>FFS RAN2 will consider the additional option of using DCCH message to indicate arrival of non-SDT data (details to be discussed). Discussion will continue on all three options.</w:t>
            </w:r>
          </w:p>
          <w:p w14:paraId="417FFA82" w14:textId="5D463E5A" w:rsidR="00252DDC" w:rsidRPr="00CC2B57" w:rsidRDefault="002861A1" w:rsidP="002861A1">
            <w:pPr>
              <w:snapToGrid w:val="0"/>
              <w:rPr>
                <w:rFonts w:ascii="Arial" w:eastAsiaTheme="minorEastAsia" w:hAnsi="Arial" w:cs="Arial"/>
                <w:b/>
                <w:noProof/>
                <w:sz w:val="20"/>
              </w:rPr>
            </w:pPr>
            <w:r w:rsidRPr="00CC2B57">
              <w:rPr>
                <w:rFonts w:ascii="Arial" w:eastAsiaTheme="minorEastAsia" w:hAnsi="Arial" w:cs="Arial"/>
                <w:b/>
                <w:noProof/>
                <w:sz w:val="20"/>
              </w:rPr>
              <w:t>RAN2#113bis-e</w:t>
            </w:r>
            <w:r w:rsidR="00224B3A" w:rsidRPr="00CC2B57">
              <w:rPr>
                <w:rFonts w:ascii="Arial" w:eastAsiaTheme="minorEastAsia" w:hAnsi="Arial" w:cs="Arial"/>
                <w:b/>
                <w:noProof/>
                <w:sz w:val="20"/>
              </w:rPr>
              <w:t xml:space="preserve"> Agreements</w:t>
            </w:r>
            <w:r w:rsidR="00263E2A" w:rsidRPr="00CC2B57">
              <w:rPr>
                <w:rFonts w:ascii="Arial" w:eastAsiaTheme="minorEastAsia" w:hAnsi="Arial" w:cs="Arial"/>
                <w:b/>
                <w:noProof/>
                <w:sz w:val="20"/>
              </w:rPr>
              <w:t xml:space="preserve"> [2]</w:t>
            </w:r>
            <w:r w:rsidRPr="00CC2B57">
              <w:rPr>
                <w:rFonts w:ascii="Arial" w:eastAsiaTheme="minorEastAsia" w:hAnsi="Arial" w:cs="Arial"/>
                <w:b/>
                <w:noProof/>
                <w:sz w:val="20"/>
              </w:rPr>
              <w:t>:</w:t>
            </w:r>
          </w:p>
          <w:p w14:paraId="07F675D1" w14:textId="77777777" w:rsidR="00CC2B57"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szCs w:val="20"/>
                <w:lang w:val="x-none"/>
              </w:rPr>
              <w:t xml:space="preserve">Non-SDT radio bearers are only resumed upon receiving </w:t>
            </w:r>
            <w:proofErr w:type="spellStart"/>
            <w:r w:rsidRPr="00CC2B57">
              <w:rPr>
                <w:rFonts w:ascii="Arial" w:hAnsi="Arial" w:cs="Arial"/>
                <w:sz w:val="20"/>
                <w:szCs w:val="20"/>
                <w:lang w:val="x-none"/>
              </w:rPr>
              <w:t>RRCResume</w:t>
            </w:r>
            <w:proofErr w:type="spellEnd"/>
            <w:r w:rsidRPr="00CC2B57">
              <w:rPr>
                <w:rFonts w:ascii="Arial" w:hAnsi="Arial" w:cs="Arial"/>
                <w:sz w:val="20"/>
                <w:szCs w:val="20"/>
                <w:lang w:val="x-none"/>
              </w:rPr>
              <w:t xml:space="preserve"> (same as today)</w:t>
            </w:r>
          </w:p>
          <w:p w14:paraId="0A21F17C" w14:textId="201CB272" w:rsidR="007864AF"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lang w:val="x-none"/>
              </w:rPr>
              <w:t>Down-scope to two solutions (CCCH or DCCH) and ask SA3 about security issues (explain that CCCH message will be repeated in same cell and ask if there is a question).</w:t>
            </w:r>
          </w:p>
        </w:tc>
      </w:tr>
    </w:tbl>
    <w:p w14:paraId="0B5373B5" w14:textId="2E34E18F" w:rsidR="00292B22" w:rsidRPr="00095BC6" w:rsidRDefault="0006090F" w:rsidP="00095BC6">
      <w:pPr>
        <w:spacing w:before="120" w:line="240" w:lineRule="auto"/>
        <w:rPr>
          <w:szCs w:val="22"/>
        </w:rPr>
      </w:pPr>
      <w:r>
        <w:t>Therefore, i</w:t>
      </w:r>
      <w:r w:rsidR="007E56FA" w:rsidRPr="005247D9">
        <w:t xml:space="preserve">n this contribution, we </w:t>
      </w:r>
      <w:r w:rsidR="007E56FA">
        <w:t xml:space="preserve">would like to </w:t>
      </w:r>
      <w:r w:rsidR="00D27BF5">
        <w:t xml:space="preserve">provide our understanding </w:t>
      </w:r>
      <w:r w:rsidR="00BD1309">
        <w:t>on</w:t>
      </w:r>
      <w:r w:rsidR="00BF2C5D">
        <w:t xml:space="preserve"> the handling of non-SDT data arrival. </w:t>
      </w:r>
      <w:r w:rsidR="00176FDC">
        <w:rPr>
          <w:rFonts w:hint="eastAsia"/>
          <w:szCs w:val="22"/>
        </w:rPr>
        <w:t>H</w:t>
      </w:r>
      <w:r w:rsidR="00176FDC">
        <w:rPr>
          <w:szCs w:val="22"/>
        </w:rPr>
        <w:t xml:space="preserve">opefully, RAN2 can select a </w:t>
      </w:r>
      <w:r w:rsidR="00D5595A">
        <w:rPr>
          <w:szCs w:val="22"/>
        </w:rPr>
        <w:t>simple but efficient solution to handle the issue.</w:t>
      </w:r>
    </w:p>
    <w:p w14:paraId="7CA15505" w14:textId="7A0763B5" w:rsidR="00B3530C" w:rsidRDefault="00C61BEA" w:rsidP="00B3530C">
      <w:pPr>
        <w:pStyle w:val="1"/>
        <w:spacing w:after="120" w:line="240" w:lineRule="auto"/>
        <w:ind w:left="431" w:hanging="431"/>
        <w:jc w:val="left"/>
      </w:pPr>
      <w:r>
        <w:t>Discussion</w:t>
      </w:r>
    </w:p>
    <w:p w14:paraId="362445FF" w14:textId="446F3B5F" w:rsidR="006C5520" w:rsidRDefault="00F869A1" w:rsidP="00F869A1">
      <w:pPr>
        <w:snapToGrid w:val="0"/>
        <w:spacing w:line="240" w:lineRule="auto"/>
        <w:rPr>
          <w:rFonts w:eastAsiaTheme="minorEastAsia" w:cs="Arial"/>
          <w:bCs/>
          <w:snapToGrid w:val="0"/>
        </w:rPr>
      </w:pPr>
      <w:r>
        <w:rPr>
          <w:rFonts w:eastAsiaTheme="minorEastAsia" w:cs="Arial"/>
          <w:bCs/>
          <w:snapToGrid w:val="0"/>
        </w:rPr>
        <w:t xml:space="preserve">After triggering SDT, there may be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o non</w:t>
      </w:r>
      <w:r w:rsidR="00567A04">
        <w:rPr>
          <w:rFonts w:eastAsiaTheme="minorEastAsia" w:cs="Arial"/>
          <w:bCs/>
          <w:snapToGrid w:val="0"/>
        </w:rPr>
        <w:t>-SDT RB</w:t>
      </w:r>
      <w:r w:rsidR="007442B4">
        <w:rPr>
          <w:rFonts w:eastAsiaTheme="minorEastAsia" w:cs="Arial"/>
          <w:bCs/>
          <w:snapToGrid w:val="0"/>
        </w:rPr>
        <w:t>(s)</w:t>
      </w:r>
      <w:r>
        <w:rPr>
          <w:rFonts w:eastAsiaTheme="minorEastAsia" w:cs="Arial"/>
          <w:bCs/>
          <w:snapToGrid w:val="0"/>
        </w:rPr>
        <w:t xml:space="preserve"> from upper </w:t>
      </w:r>
      <w:r>
        <w:rPr>
          <w:rFonts w:eastAsiaTheme="minorEastAsia" w:cs="Arial" w:hint="eastAsia"/>
          <w:bCs/>
          <w:snapToGrid w:val="0"/>
        </w:rPr>
        <w:t>layer</w:t>
      </w:r>
      <w:r>
        <w:rPr>
          <w:rFonts w:eastAsiaTheme="minorEastAsia" w:cs="Arial"/>
          <w:bCs/>
          <w:snapToGrid w:val="0"/>
        </w:rPr>
        <w:t>s.</w:t>
      </w:r>
      <w:r w:rsidR="006C5520">
        <w:rPr>
          <w:rFonts w:eastAsiaTheme="minorEastAsia" w:cs="Arial"/>
          <w:bCs/>
          <w:snapToGrid w:val="0"/>
        </w:rPr>
        <w:t xml:space="preserve"> In some special case</w:t>
      </w:r>
      <w:r w:rsidR="00F62E4C">
        <w:rPr>
          <w:rFonts w:eastAsiaTheme="minorEastAsia" w:cs="Arial"/>
          <w:bCs/>
          <w:snapToGrid w:val="0"/>
        </w:rPr>
        <w:t>s</w:t>
      </w:r>
      <w:r w:rsidR="006C5520">
        <w:rPr>
          <w:rFonts w:eastAsiaTheme="minorEastAsia" w:cs="Arial"/>
          <w:bCs/>
          <w:snapToGrid w:val="0"/>
        </w:rPr>
        <w:t xml:space="preserve">, </w:t>
      </w:r>
      <w:r w:rsidR="00F62E4C">
        <w:rPr>
          <w:rFonts w:eastAsiaTheme="minorEastAsia" w:cs="Arial"/>
          <w:bCs/>
          <w:snapToGrid w:val="0"/>
        </w:rPr>
        <w:t>the non-SDT data may just arrive following the SDT data but before the first available UL transmission resource for the very first UL data transmission, as shown in the following Figure 1</w:t>
      </w:r>
      <w:r w:rsidR="00F93B81">
        <w:rPr>
          <w:rFonts w:eastAsiaTheme="minorEastAsia" w:cs="Arial"/>
          <w:bCs/>
          <w:snapToGrid w:val="0"/>
        </w:rPr>
        <w:t xml:space="preserve">. </w:t>
      </w:r>
    </w:p>
    <w:p w14:paraId="34B58115" w14:textId="667AD027" w:rsidR="00F869A1" w:rsidRDefault="00D74C7C" w:rsidP="00F869A1">
      <w:pPr>
        <w:snapToGrid w:val="0"/>
        <w:spacing w:line="240" w:lineRule="auto"/>
      </w:pPr>
      <w:r>
        <w:rPr>
          <w:rFonts w:eastAsiaTheme="minorEastAsia" w:cs="Arial" w:hint="eastAsia"/>
          <w:bCs/>
          <w:snapToGrid w:val="0"/>
        </w:rPr>
        <w:t>C</w:t>
      </w:r>
      <w:r>
        <w:rPr>
          <w:rFonts w:eastAsiaTheme="minorEastAsia" w:cs="Arial"/>
          <w:bCs/>
          <w:snapToGrid w:val="0"/>
        </w:rPr>
        <w:t xml:space="preserve">onsidering we have already agreed that the arrival of non-SDT data should be reported to the network when this data comes after the very first UL data transmission </w:t>
      </w:r>
      <w:r w:rsidR="002534DD">
        <w:rPr>
          <w:rFonts w:eastAsiaTheme="minorEastAsia" w:cs="Arial"/>
          <w:bCs/>
          <w:snapToGrid w:val="0"/>
        </w:rPr>
        <w:t>in the SDT procedure, we think this design logic can be extended to the case where non-SDT data arrives prior to</w:t>
      </w:r>
      <w:r w:rsidR="001E61AD">
        <w:rPr>
          <w:rFonts w:eastAsiaTheme="minorEastAsia" w:cs="Arial"/>
          <w:bCs/>
          <w:snapToGrid w:val="0"/>
        </w:rPr>
        <w:t xml:space="preserve"> the very first UL data transmission in the SDT procedure</w:t>
      </w:r>
      <w:r w:rsidR="00232132">
        <w:rPr>
          <w:rFonts w:eastAsiaTheme="minorEastAsia" w:cs="Arial"/>
          <w:bCs/>
          <w:snapToGrid w:val="0"/>
        </w:rPr>
        <w:t xml:space="preserve">. In other words, </w:t>
      </w:r>
      <w:r w:rsidR="00265894">
        <w:rPr>
          <w:rFonts w:eastAsiaTheme="minorEastAsia" w:cs="Arial"/>
          <w:bCs/>
          <w:snapToGrid w:val="0"/>
        </w:rPr>
        <w:t xml:space="preserve">the </w:t>
      </w:r>
      <w:r w:rsidR="00F869A1">
        <w:t>UE should continue the ongoing SDT procedure</w:t>
      </w:r>
      <w:r w:rsidR="00A724B5">
        <w:t xml:space="preserve"> in this scenario</w:t>
      </w:r>
      <w:r w:rsidR="00F869A1">
        <w:t xml:space="preserve">.   </w:t>
      </w:r>
    </w:p>
    <w:p w14:paraId="43CD0140" w14:textId="491FA96F" w:rsidR="006C5520" w:rsidRDefault="006C5520" w:rsidP="00965616">
      <w:pPr>
        <w:snapToGrid w:val="0"/>
        <w:spacing w:after="0" w:line="240" w:lineRule="auto"/>
        <w:jc w:val="center"/>
      </w:pPr>
      <w:r>
        <w:object w:dxaOrig="8955" w:dyaOrig="4230" w14:anchorId="7B03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57pt" o:ole="">
            <v:imagedata r:id="rId8" o:title=""/>
          </v:shape>
          <o:OLEObject Type="Embed" ProgID="Visio.Drawing.15" ShapeID="_x0000_i1025" DrawAspect="Content" ObjectID="_1696419388" r:id="rId9"/>
        </w:object>
      </w:r>
    </w:p>
    <w:p w14:paraId="5EB3ED3A" w14:textId="018DFCA3" w:rsidR="003C280A" w:rsidRPr="00B45D32" w:rsidRDefault="003C280A" w:rsidP="006C5520">
      <w:pPr>
        <w:snapToGrid w:val="0"/>
        <w:spacing w:line="240" w:lineRule="auto"/>
        <w:jc w:val="center"/>
        <w:rPr>
          <w:sz w:val="20"/>
        </w:rPr>
      </w:pPr>
      <w:r w:rsidRPr="00B45D32">
        <w:rPr>
          <w:rFonts w:hint="eastAsia"/>
          <w:sz w:val="20"/>
        </w:rPr>
        <w:t>F</w:t>
      </w:r>
      <w:r w:rsidRPr="00B45D32">
        <w:rPr>
          <w:sz w:val="20"/>
        </w:rPr>
        <w:t>igure 1: Arrival of non-SDT data</w:t>
      </w:r>
    </w:p>
    <w:p w14:paraId="3225E35D" w14:textId="08ECFCD3" w:rsidR="00F869A1" w:rsidRPr="0072555E" w:rsidRDefault="00F869A1" w:rsidP="00D4729A">
      <w:pPr>
        <w:snapToGrid w:val="0"/>
        <w:spacing w:after="240" w:line="240" w:lineRule="auto"/>
        <w:rPr>
          <w:b/>
          <w:szCs w:val="22"/>
        </w:rPr>
      </w:pPr>
      <w:r w:rsidRPr="0072555E">
        <w:rPr>
          <w:b/>
          <w:szCs w:val="22"/>
        </w:rPr>
        <w:t xml:space="preserve">Proposal </w:t>
      </w:r>
      <w:r w:rsidR="005F5EE0" w:rsidRPr="0072555E">
        <w:rPr>
          <w:b/>
          <w:szCs w:val="22"/>
        </w:rPr>
        <w:t>1</w:t>
      </w:r>
      <w:r w:rsidRPr="0072555E">
        <w:rPr>
          <w:b/>
          <w:szCs w:val="22"/>
        </w:rPr>
        <w:t>:</w:t>
      </w:r>
      <w:r w:rsidR="005F5EE0" w:rsidRPr="0072555E">
        <w:rPr>
          <w:b/>
          <w:szCs w:val="22"/>
        </w:rPr>
        <w:t xml:space="preserve"> If non-SDT data arriv</w:t>
      </w:r>
      <w:r w:rsidR="000D2255" w:rsidRPr="0072555E">
        <w:rPr>
          <w:b/>
          <w:szCs w:val="22"/>
        </w:rPr>
        <w:t>es</w:t>
      </w:r>
      <w:r w:rsidR="005F5EE0" w:rsidRPr="0072555E">
        <w:rPr>
          <w:b/>
          <w:szCs w:val="22"/>
        </w:rPr>
        <w:t xml:space="preserve"> </w:t>
      </w:r>
      <w:r w:rsidR="00CE225C" w:rsidRPr="0072555E">
        <w:rPr>
          <w:b/>
          <w:szCs w:val="22"/>
        </w:rPr>
        <w:t xml:space="preserve">before </w:t>
      </w:r>
      <w:r w:rsidR="005F5EE0" w:rsidRPr="0072555E">
        <w:rPr>
          <w:b/>
          <w:szCs w:val="22"/>
        </w:rPr>
        <w:t>sending the first UL data packet</w:t>
      </w:r>
      <w:r w:rsidR="00D34D20" w:rsidRPr="0072555E">
        <w:rPr>
          <w:b/>
          <w:szCs w:val="22"/>
        </w:rPr>
        <w:t xml:space="preserve"> but after triggering the SDT procedure, UE conti</w:t>
      </w:r>
      <w:r w:rsidR="0072555E" w:rsidRPr="0072555E">
        <w:rPr>
          <w:b/>
          <w:szCs w:val="22"/>
        </w:rPr>
        <w:t>nue</w:t>
      </w:r>
      <w:r w:rsidR="00D34D20" w:rsidRPr="0072555E">
        <w:rPr>
          <w:b/>
          <w:szCs w:val="22"/>
        </w:rPr>
        <w:t>s the ongoing SDT procedure</w:t>
      </w:r>
      <w:r w:rsidR="00C91D0F" w:rsidRPr="0072555E">
        <w:rPr>
          <w:b/>
          <w:szCs w:val="22"/>
        </w:rPr>
        <w:t xml:space="preserve"> and </w:t>
      </w:r>
      <w:r w:rsidR="00C26E36" w:rsidRPr="0072555E">
        <w:rPr>
          <w:b/>
          <w:szCs w:val="22"/>
        </w:rPr>
        <w:t>i</w:t>
      </w:r>
      <w:r w:rsidR="007B395F" w:rsidRPr="0072555E">
        <w:rPr>
          <w:rFonts w:eastAsia="Malgun Gothic"/>
          <w:b/>
          <w:noProof/>
          <w:szCs w:val="22"/>
          <w:lang w:eastAsia="ko-KR"/>
        </w:rPr>
        <w:t>ndicate</w:t>
      </w:r>
      <w:r w:rsidR="0072555E" w:rsidRPr="0072555E">
        <w:rPr>
          <w:rFonts w:eastAsia="Malgun Gothic"/>
          <w:b/>
          <w:noProof/>
          <w:szCs w:val="22"/>
          <w:lang w:eastAsia="ko-KR"/>
        </w:rPr>
        <w:t>s</w:t>
      </w:r>
      <w:r w:rsidR="007B395F" w:rsidRPr="0072555E">
        <w:rPr>
          <w:rFonts w:eastAsia="Malgun Gothic"/>
          <w:b/>
          <w:noProof/>
          <w:szCs w:val="22"/>
          <w:lang w:eastAsia="ko-KR"/>
        </w:rPr>
        <w:t xml:space="preserve"> </w:t>
      </w:r>
      <w:r w:rsidR="00763C05" w:rsidRPr="0072555E">
        <w:rPr>
          <w:rFonts w:eastAsia="Malgun Gothic"/>
          <w:b/>
          <w:noProof/>
          <w:szCs w:val="22"/>
          <w:lang w:eastAsia="ko-KR"/>
        </w:rPr>
        <w:t xml:space="preserve">the </w:t>
      </w:r>
      <w:r w:rsidR="007B395F" w:rsidRPr="0072555E">
        <w:rPr>
          <w:rFonts w:eastAsia="Malgun Gothic"/>
          <w:b/>
          <w:noProof/>
          <w:szCs w:val="22"/>
          <w:lang w:eastAsia="ko-KR"/>
        </w:rPr>
        <w:t>arrival of non-SDT data</w:t>
      </w:r>
      <w:r w:rsidRPr="0072555E">
        <w:rPr>
          <w:b/>
          <w:szCs w:val="22"/>
        </w:rPr>
        <w:t xml:space="preserve">. </w:t>
      </w:r>
    </w:p>
    <w:p w14:paraId="30E826E7" w14:textId="19D3EA71" w:rsidR="0039783F" w:rsidRDefault="00E42E19" w:rsidP="007170EC">
      <w:pPr>
        <w:spacing w:line="240" w:lineRule="auto"/>
        <w:rPr>
          <w:szCs w:val="22"/>
        </w:rPr>
      </w:pPr>
      <w:r w:rsidRPr="00714A61">
        <w:rPr>
          <w:rFonts w:eastAsiaTheme="minorEastAsia" w:hint="eastAsia"/>
          <w:szCs w:val="22"/>
        </w:rPr>
        <w:lastRenderedPageBreak/>
        <w:t>I</w:t>
      </w:r>
      <w:r w:rsidRPr="00714A61">
        <w:rPr>
          <w:rFonts w:eastAsiaTheme="minorEastAsia"/>
          <w:szCs w:val="22"/>
        </w:rPr>
        <w:t>n RAN2#113bi</w:t>
      </w:r>
      <w:r w:rsidR="000D4C53" w:rsidRPr="00714A61">
        <w:rPr>
          <w:rFonts w:eastAsiaTheme="minorEastAsia"/>
          <w:szCs w:val="22"/>
        </w:rPr>
        <w:t>s-</w:t>
      </w:r>
      <w:r w:rsidRPr="00714A61">
        <w:rPr>
          <w:rFonts w:eastAsiaTheme="minorEastAsia"/>
          <w:szCs w:val="22"/>
        </w:rPr>
        <w:t>e meeting, the BSR reporting</w:t>
      </w:r>
      <w:r w:rsidR="00C428CC" w:rsidRPr="00714A61">
        <w:rPr>
          <w:rFonts w:eastAsiaTheme="minorEastAsia"/>
          <w:szCs w:val="22"/>
        </w:rPr>
        <w:t xml:space="preserve"> mech</w:t>
      </w:r>
      <w:r w:rsidR="00B5571A" w:rsidRPr="00714A61">
        <w:rPr>
          <w:rFonts w:eastAsiaTheme="minorEastAsia"/>
          <w:szCs w:val="22"/>
        </w:rPr>
        <w:t>anis</w:t>
      </w:r>
      <w:r w:rsidR="00C428CC" w:rsidRPr="00714A61">
        <w:rPr>
          <w:rFonts w:eastAsiaTheme="minorEastAsia"/>
          <w:szCs w:val="22"/>
        </w:rPr>
        <w:t xml:space="preserve">m </w:t>
      </w:r>
      <w:r w:rsidR="00094CD4" w:rsidRPr="00714A61">
        <w:rPr>
          <w:rFonts w:eastAsiaTheme="minorEastAsia"/>
          <w:szCs w:val="22"/>
        </w:rPr>
        <w:t xml:space="preserve">for indicating the </w:t>
      </w:r>
      <w:r w:rsidR="00D4776E" w:rsidRPr="00714A61">
        <w:rPr>
          <w:rFonts w:eastAsiaTheme="minorEastAsia"/>
          <w:szCs w:val="22"/>
        </w:rPr>
        <w:t xml:space="preserve">arrival of </w:t>
      </w:r>
      <w:r w:rsidR="00734AAA" w:rsidRPr="00714A61">
        <w:rPr>
          <w:rFonts w:eastAsiaTheme="minorEastAsia"/>
          <w:szCs w:val="22"/>
        </w:rPr>
        <w:t>non-SDT data was excluded. The reason is that most companies hold a view that BSR reporting cannot indicate the detailed data volume of a</w:t>
      </w:r>
      <w:r w:rsidR="009569DA" w:rsidRPr="00714A61">
        <w:rPr>
          <w:rFonts w:eastAsiaTheme="minorEastAsia"/>
          <w:szCs w:val="22"/>
        </w:rPr>
        <w:t>n</w:t>
      </w:r>
      <w:r w:rsidR="00734AAA" w:rsidRPr="00714A61">
        <w:rPr>
          <w:rFonts w:eastAsiaTheme="minorEastAsia"/>
          <w:szCs w:val="22"/>
        </w:rPr>
        <w:t xml:space="preserve"> RB</w:t>
      </w:r>
      <w:r w:rsidR="0036134E" w:rsidRPr="00714A61">
        <w:rPr>
          <w:rFonts w:eastAsiaTheme="minorEastAsia"/>
          <w:szCs w:val="22"/>
        </w:rPr>
        <w:t xml:space="preserve"> that is suspended</w:t>
      </w:r>
      <w:r w:rsidR="00734AAA" w:rsidRPr="00714A61">
        <w:rPr>
          <w:rFonts w:eastAsiaTheme="minorEastAsia"/>
          <w:szCs w:val="22"/>
        </w:rPr>
        <w:t>.</w:t>
      </w:r>
      <w:r w:rsidR="00450268" w:rsidRPr="00714A61">
        <w:rPr>
          <w:rFonts w:eastAsiaTheme="minorEastAsia"/>
          <w:szCs w:val="22"/>
        </w:rPr>
        <w:t xml:space="preserve"> However,</w:t>
      </w:r>
      <w:r w:rsidR="004A24F9" w:rsidRPr="00714A61">
        <w:rPr>
          <w:rFonts w:eastAsiaTheme="minorEastAsia"/>
          <w:szCs w:val="22"/>
        </w:rPr>
        <w:t xml:space="preserve"> i</w:t>
      </w:r>
      <w:r w:rsidR="00A11714" w:rsidRPr="00714A61">
        <w:rPr>
          <w:rFonts w:eastAsiaTheme="minorEastAsia"/>
          <w:szCs w:val="22"/>
        </w:rPr>
        <w:t xml:space="preserve">n </w:t>
      </w:r>
      <w:r w:rsidR="004306E8">
        <w:rPr>
          <w:rFonts w:eastAsiaTheme="minorEastAsia"/>
          <w:szCs w:val="22"/>
        </w:rPr>
        <w:t xml:space="preserve">the </w:t>
      </w:r>
      <w:r w:rsidR="00A11714" w:rsidRPr="00714A61">
        <w:rPr>
          <w:rFonts w:eastAsiaTheme="minorEastAsia"/>
          <w:szCs w:val="22"/>
        </w:rPr>
        <w:t xml:space="preserve">RAN2#114-e meeting </w:t>
      </w:r>
      <w:r w:rsidR="00A11714" w:rsidRPr="00714A61">
        <w:rPr>
          <w:rFonts w:eastAsiaTheme="minorEastAsia" w:hint="eastAsia"/>
          <w:szCs w:val="22"/>
        </w:rPr>
        <w:t>UP</w:t>
      </w:r>
      <w:r w:rsidR="00A11714" w:rsidRPr="00714A61">
        <w:rPr>
          <w:rFonts w:eastAsiaTheme="minorEastAsia"/>
          <w:szCs w:val="22"/>
        </w:rPr>
        <w:t xml:space="preserve"> session,</w:t>
      </w:r>
      <w:r w:rsidR="00886B64" w:rsidRPr="00714A61">
        <w:rPr>
          <w:rFonts w:eastAsiaTheme="minorEastAsia"/>
          <w:szCs w:val="22"/>
        </w:rPr>
        <w:t xml:space="preserve"> a</w:t>
      </w:r>
      <w:r w:rsidR="00A11714" w:rsidRPr="00714A61">
        <w:rPr>
          <w:rFonts w:eastAsiaTheme="minorEastAsia"/>
          <w:szCs w:val="22"/>
        </w:rPr>
        <w:t xml:space="preserve"> warm discussion</w:t>
      </w:r>
      <w:r w:rsidR="005138D8" w:rsidRPr="00714A61">
        <w:rPr>
          <w:rFonts w:eastAsiaTheme="minorEastAsia"/>
          <w:szCs w:val="22"/>
        </w:rPr>
        <w:t xml:space="preserve"> on </w:t>
      </w:r>
      <w:r w:rsidR="00886B64" w:rsidRPr="00714A61">
        <w:rPr>
          <w:szCs w:val="22"/>
        </w:rPr>
        <w:t xml:space="preserve">whether BSR calculation can be used for </w:t>
      </w:r>
      <w:r w:rsidR="009569DA" w:rsidRPr="00714A61">
        <w:rPr>
          <w:rFonts w:eastAsiaTheme="minorEastAsia"/>
          <w:szCs w:val="22"/>
        </w:rPr>
        <w:t>an RB that is suspended</w:t>
      </w:r>
      <w:r w:rsidR="00886B64" w:rsidRPr="00714A61">
        <w:rPr>
          <w:szCs w:val="22"/>
        </w:rPr>
        <w:t xml:space="preserve"> had been</w:t>
      </w:r>
      <w:r w:rsidR="00B717B4" w:rsidRPr="00714A61">
        <w:rPr>
          <w:szCs w:val="22"/>
        </w:rPr>
        <w:t xml:space="preserve"> lau</w:t>
      </w:r>
      <w:r w:rsidR="00ED6279" w:rsidRPr="00714A61">
        <w:rPr>
          <w:szCs w:val="22"/>
        </w:rPr>
        <w:t>n</w:t>
      </w:r>
      <w:r w:rsidR="00B717B4" w:rsidRPr="00714A61">
        <w:rPr>
          <w:szCs w:val="22"/>
        </w:rPr>
        <w:t xml:space="preserve">ched </w:t>
      </w:r>
      <w:r w:rsidR="00BF5F58" w:rsidRPr="00714A61">
        <w:rPr>
          <w:szCs w:val="22"/>
        </w:rPr>
        <w:t>[3]</w:t>
      </w:r>
      <w:r w:rsidR="00886B64" w:rsidRPr="00714A61">
        <w:rPr>
          <w:szCs w:val="22"/>
        </w:rPr>
        <w:t>.</w:t>
      </w:r>
      <w:r w:rsidR="00BF5F58" w:rsidRPr="00714A61">
        <w:rPr>
          <w:szCs w:val="22"/>
        </w:rPr>
        <w:t xml:space="preserve"> </w:t>
      </w:r>
      <w:r w:rsidR="00AB2D41">
        <w:rPr>
          <w:szCs w:val="22"/>
        </w:rPr>
        <w:t>Further</w:t>
      </w:r>
      <w:r w:rsidR="004306E8">
        <w:rPr>
          <w:szCs w:val="22"/>
        </w:rPr>
        <w:t>,</w:t>
      </w:r>
      <w:r w:rsidR="00AB2D41">
        <w:rPr>
          <w:szCs w:val="22"/>
        </w:rPr>
        <w:t xml:space="preserve"> in </w:t>
      </w:r>
      <w:r w:rsidR="004306E8">
        <w:rPr>
          <w:szCs w:val="22"/>
        </w:rPr>
        <w:t xml:space="preserve">the </w:t>
      </w:r>
      <w:r w:rsidR="00AB2D41">
        <w:rPr>
          <w:szCs w:val="22"/>
        </w:rPr>
        <w:t xml:space="preserve">RAN2#115-e meeting UP session, it was finally confirmed that </w:t>
      </w:r>
      <w:r w:rsidR="00F942CE">
        <w:t>the suspended RBs shall</w:t>
      </w:r>
      <w:r w:rsidR="00F942CE" w:rsidRPr="00EE7773">
        <w:t xml:space="preserve"> be considered for BSR calculation</w:t>
      </w:r>
      <w:r w:rsidR="00F942CE">
        <w:t xml:space="preserve"> (</w:t>
      </w:r>
      <w:r w:rsidR="00F942CE">
        <w:rPr>
          <w:rFonts w:hint="eastAsia"/>
        </w:rPr>
        <w:t>i.</w:t>
      </w:r>
      <w:r w:rsidR="00F942CE">
        <w:t>e. no change to the specifications).</w:t>
      </w:r>
      <w:r w:rsidR="004306E8">
        <w:t xml:space="preserve"> In other words,</w:t>
      </w:r>
      <w:r w:rsidR="00534EE6">
        <w:t xml:space="preserve"> BSR can be used to indicate </w:t>
      </w:r>
      <w:r w:rsidR="00B84224">
        <w:t xml:space="preserve">the </w:t>
      </w:r>
      <w:r w:rsidR="00534EE6">
        <w:t>pending data volume of a</w:t>
      </w:r>
      <w:r w:rsidR="00DB2084">
        <w:t>n</w:t>
      </w:r>
      <w:r w:rsidR="00534EE6">
        <w:t xml:space="preserve"> RB that is suspended.</w:t>
      </w:r>
      <w:r w:rsidR="00F8330B">
        <w:t xml:space="preserve"> </w:t>
      </w:r>
    </w:p>
    <w:p w14:paraId="4697BE17" w14:textId="6057A5B0" w:rsidR="00886B64" w:rsidRPr="00714A61" w:rsidRDefault="0036134E" w:rsidP="007170EC">
      <w:pPr>
        <w:spacing w:line="240" w:lineRule="auto"/>
        <w:rPr>
          <w:szCs w:val="22"/>
        </w:rPr>
      </w:pPr>
      <w:r w:rsidRPr="00714A61">
        <w:rPr>
          <w:szCs w:val="22"/>
        </w:rPr>
        <w:t xml:space="preserve">In our understanding, from the UE implementation point of view, there is no technical difference between </w:t>
      </w:r>
      <w:r w:rsidR="004804B1" w:rsidRPr="00714A61">
        <w:rPr>
          <w:rFonts w:eastAsiaTheme="minorEastAsia"/>
          <w:szCs w:val="22"/>
        </w:rPr>
        <w:t>an RB that is suspended due to RRC re-establishment and that due to</w:t>
      </w:r>
      <w:r w:rsidR="005E5D73" w:rsidRPr="00714A61">
        <w:rPr>
          <w:rFonts w:eastAsiaTheme="minorEastAsia"/>
          <w:szCs w:val="22"/>
        </w:rPr>
        <w:t xml:space="preserve"> RRC release with suspen</w:t>
      </w:r>
      <w:r w:rsidR="0023403F">
        <w:rPr>
          <w:rFonts w:eastAsiaTheme="minorEastAsia"/>
          <w:szCs w:val="22"/>
        </w:rPr>
        <w:t>d configuration</w:t>
      </w:r>
      <w:r w:rsidR="005E5D73" w:rsidRPr="00714A61">
        <w:rPr>
          <w:rFonts w:eastAsiaTheme="minorEastAsia"/>
          <w:szCs w:val="22"/>
        </w:rPr>
        <w:t>.</w:t>
      </w:r>
      <w:r w:rsidR="007170EC" w:rsidRPr="00714A61">
        <w:rPr>
          <w:rFonts w:eastAsiaTheme="minorEastAsia"/>
          <w:szCs w:val="22"/>
        </w:rPr>
        <w:t xml:space="preserve"> In this sense, we think</w:t>
      </w:r>
      <w:r w:rsidR="00886B64" w:rsidRPr="00714A61">
        <w:rPr>
          <w:szCs w:val="22"/>
        </w:rPr>
        <w:t xml:space="preserve"> </w:t>
      </w:r>
      <w:r w:rsidR="00A74475">
        <w:rPr>
          <w:szCs w:val="22"/>
        </w:rPr>
        <w:t xml:space="preserve">now </w:t>
      </w:r>
      <w:r w:rsidR="00886B64" w:rsidRPr="00714A61">
        <w:rPr>
          <w:szCs w:val="22"/>
        </w:rPr>
        <w:t xml:space="preserve">it is </w:t>
      </w:r>
      <w:r w:rsidR="003642B8">
        <w:rPr>
          <w:szCs w:val="22"/>
        </w:rPr>
        <w:t xml:space="preserve">clear </w:t>
      </w:r>
      <w:r w:rsidR="00886B64" w:rsidRPr="00714A61">
        <w:rPr>
          <w:szCs w:val="22"/>
        </w:rPr>
        <w:t>that BSR calculation can be also used for RB</w:t>
      </w:r>
      <w:r w:rsidR="00F67380" w:rsidRPr="00714A61">
        <w:rPr>
          <w:szCs w:val="22"/>
        </w:rPr>
        <w:t>(</w:t>
      </w:r>
      <w:r w:rsidR="00886B64" w:rsidRPr="00714A61">
        <w:rPr>
          <w:szCs w:val="22"/>
        </w:rPr>
        <w:t>s</w:t>
      </w:r>
      <w:r w:rsidR="00F67380" w:rsidRPr="00714A61">
        <w:rPr>
          <w:szCs w:val="22"/>
        </w:rPr>
        <w:t>)</w:t>
      </w:r>
      <w:r w:rsidR="00886B64" w:rsidRPr="00714A61">
        <w:rPr>
          <w:szCs w:val="22"/>
        </w:rPr>
        <w:t xml:space="preserve"> </w:t>
      </w:r>
      <w:r w:rsidR="000423A9" w:rsidRPr="00714A61">
        <w:rPr>
          <w:szCs w:val="22"/>
        </w:rPr>
        <w:t xml:space="preserve">that </w:t>
      </w:r>
      <w:r w:rsidR="00432359" w:rsidRPr="00714A61">
        <w:rPr>
          <w:szCs w:val="22"/>
        </w:rPr>
        <w:t>is</w:t>
      </w:r>
      <w:r w:rsidR="000423A9" w:rsidRPr="00714A61">
        <w:rPr>
          <w:szCs w:val="22"/>
        </w:rPr>
        <w:t xml:space="preserve"> suspended </w:t>
      </w:r>
      <w:r w:rsidR="00886B64" w:rsidRPr="00714A61">
        <w:rPr>
          <w:szCs w:val="22"/>
        </w:rPr>
        <w:t xml:space="preserve">in legacy NR, </w:t>
      </w:r>
      <w:r w:rsidR="006433A4" w:rsidRPr="00714A61">
        <w:rPr>
          <w:szCs w:val="22"/>
        </w:rPr>
        <w:t xml:space="preserve">then it seems spontaneous </w:t>
      </w:r>
      <w:r w:rsidR="00E533A5" w:rsidRPr="00714A61">
        <w:rPr>
          <w:szCs w:val="22"/>
        </w:rPr>
        <w:t>that this solution can be inher</w:t>
      </w:r>
      <w:r w:rsidR="008D0F62" w:rsidRPr="00714A61">
        <w:rPr>
          <w:szCs w:val="22"/>
        </w:rPr>
        <w:t>en</w:t>
      </w:r>
      <w:r w:rsidR="00E533A5" w:rsidRPr="00714A61">
        <w:rPr>
          <w:szCs w:val="22"/>
        </w:rPr>
        <w:t xml:space="preserve">tly </w:t>
      </w:r>
      <w:r w:rsidR="008D0F62" w:rsidRPr="00714A61">
        <w:rPr>
          <w:szCs w:val="22"/>
        </w:rPr>
        <w:t>adopted for</w:t>
      </w:r>
      <w:r w:rsidR="00886B64" w:rsidRPr="00714A61">
        <w:rPr>
          <w:szCs w:val="22"/>
        </w:rPr>
        <w:t xml:space="preserve"> SDT</w:t>
      </w:r>
      <w:r w:rsidR="00AA74D9" w:rsidRPr="00714A61">
        <w:rPr>
          <w:szCs w:val="22"/>
        </w:rPr>
        <w:t xml:space="preserve"> procedure with data arrival from non-SDT RB(s)</w:t>
      </w:r>
      <w:r w:rsidR="00AA74D9" w:rsidRPr="00714A61">
        <w:rPr>
          <w:rFonts w:eastAsiaTheme="minorEastAsia"/>
          <w:szCs w:val="22"/>
        </w:rPr>
        <w:t xml:space="preserve"> that is suspended</w:t>
      </w:r>
      <w:r w:rsidR="00481B41" w:rsidRPr="00714A61">
        <w:rPr>
          <w:szCs w:val="22"/>
        </w:rPr>
        <w:t>.</w:t>
      </w:r>
      <w:r w:rsidR="007D016D">
        <w:rPr>
          <w:szCs w:val="22"/>
        </w:rPr>
        <w:t xml:space="preserve"> </w:t>
      </w:r>
      <w:proofErr w:type="gramStart"/>
      <w:r w:rsidR="007F0EE0">
        <w:rPr>
          <w:szCs w:val="22"/>
        </w:rPr>
        <w:t>So</w:t>
      </w:r>
      <w:proofErr w:type="gramEnd"/>
      <w:r w:rsidR="007F0EE0">
        <w:rPr>
          <w:szCs w:val="22"/>
        </w:rPr>
        <w:t xml:space="preserve"> we suggest </w:t>
      </w:r>
      <w:r w:rsidR="009501F3">
        <w:rPr>
          <w:szCs w:val="22"/>
        </w:rPr>
        <w:t xml:space="preserve">reconsidering the BSR solution for indicating new data arrival from non-SDT RBs. </w:t>
      </w:r>
      <w:r w:rsidR="006D4E58">
        <w:t xml:space="preserve">This is because </w:t>
      </w:r>
      <w:r w:rsidR="009C34D1">
        <w:t>the BSR reporting mechanism</w:t>
      </w:r>
      <w:r w:rsidR="00852EB6">
        <w:t xml:space="preserve"> might be the simplest </w:t>
      </w:r>
      <w:r w:rsidR="00D3287C">
        <w:t xml:space="preserve">(i.e. no new RRC </w:t>
      </w:r>
      <w:proofErr w:type="spellStart"/>
      <w:r w:rsidR="00D3287C">
        <w:t>behavior</w:t>
      </w:r>
      <w:proofErr w:type="spellEnd"/>
      <w:r w:rsidR="00D3287C">
        <w:t xml:space="preserve"> and new RRC message is needed, meanwhile, no AS security issue</w:t>
      </w:r>
      <w:r w:rsidR="00457F17">
        <w:t xml:space="preserve"> is found</w:t>
      </w:r>
      <w:r w:rsidR="00D3287C">
        <w:t>)</w:t>
      </w:r>
      <w:r w:rsidR="00A43B42">
        <w:t xml:space="preserve"> </w:t>
      </w:r>
      <w:r w:rsidR="00852EB6">
        <w:t xml:space="preserve">and most effective solution </w:t>
      </w:r>
      <w:r w:rsidR="005F2110">
        <w:t>(data volum</w:t>
      </w:r>
      <w:r w:rsidR="00F8330B">
        <w:t>e</w:t>
      </w:r>
      <w:r w:rsidR="005F2110">
        <w:t xml:space="preserve"> can be reported to the net</w:t>
      </w:r>
      <w:r w:rsidR="004306E8">
        <w:t>work</w:t>
      </w:r>
      <w:r w:rsidR="000A17CD">
        <w:t>, compared to th</w:t>
      </w:r>
      <w:r w:rsidR="00E32BAF">
        <w:t xml:space="preserve">ose two </w:t>
      </w:r>
      <w:r w:rsidR="000A17CD">
        <w:t>RRC</w:t>
      </w:r>
      <w:r w:rsidR="00A9185D">
        <w:t xml:space="preserve"> based</w:t>
      </w:r>
      <w:r w:rsidR="00C32A70">
        <w:t xml:space="preserve"> solution</w:t>
      </w:r>
      <w:r w:rsidR="00E32BAF">
        <w:t>s</w:t>
      </w:r>
      <w:r w:rsidR="005F2110">
        <w:t xml:space="preserve">) </w:t>
      </w:r>
      <w:r w:rsidR="00852EB6">
        <w:t xml:space="preserve">for the handling of non-SDT RBs. </w:t>
      </w:r>
      <w:r w:rsidR="002A448E">
        <w:t>Otherwise, if BSR reporting for</w:t>
      </w:r>
      <w:r w:rsidR="00BC2C64">
        <w:t xml:space="preserve"> RB that is suspended is supported and we have also agreed </w:t>
      </w:r>
      <w:r w:rsidR="00E04CE2">
        <w:t xml:space="preserve">on </w:t>
      </w:r>
      <w:r w:rsidR="00BC2C64">
        <w:t xml:space="preserve">either </w:t>
      </w:r>
      <w:r w:rsidR="00187F18">
        <w:t xml:space="preserve">the </w:t>
      </w:r>
      <w:r w:rsidR="00BC2C64">
        <w:rPr>
          <w:rFonts w:hint="eastAsia"/>
        </w:rPr>
        <w:t>CC</w:t>
      </w:r>
      <w:r w:rsidR="00BC2C64">
        <w:t xml:space="preserve">CH-based </w:t>
      </w:r>
      <w:r w:rsidR="00BC2C64">
        <w:rPr>
          <w:rFonts w:hint="eastAsia"/>
        </w:rPr>
        <w:t>solution</w:t>
      </w:r>
      <w:r w:rsidR="00BC2C64">
        <w:t xml:space="preserve"> or DCCH-based solution</w:t>
      </w:r>
      <w:r w:rsidR="0025687A">
        <w:t xml:space="preserve"> for SDT, RAN2 has to further discuss</w:t>
      </w:r>
      <w:r w:rsidR="00E04CE2">
        <w:t xml:space="preserve"> the selection between the existing NR mechanism and the SDT-specific mechanism for the handling of non-SDT data arrival</w:t>
      </w:r>
      <w:r w:rsidR="001B0F15">
        <w:t xml:space="preserve">. </w:t>
      </w:r>
      <w:r w:rsidR="00E04CE2">
        <w:t xml:space="preserve"> </w:t>
      </w:r>
      <w:r w:rsidR="0025687A">
        <w:t xml:space="preserve"> </w:t>
      </w:r>
    </w:p>
    <w:p w14:paraId="08ECE29E" w14:textId="112A7480" w:rsidR="00773691" w:rsidRPr="00DF31EB" w:rsidRDefault="00773691" w:rsidP="00D4729A">
      <w:pPr>
        <w:spacing w:after="240" w:line="240" w:lineRule="auto"/>
        <w:rPr>
          <w:rFonts w:eastAsiaTheme="minorEastAsia"/>
          <w:b/>
        </w:rPr>
      </w:pPr>
      <w:r w:rsidRPr="00DF31EB">
        <w:rPr>
          <w:b/>
          <w:szCs w:val="22"/>
        </w:rPr>
        <w:t>Proposal 2: RAN2</w:t>
      </w:r>
      <w:r w:rsidR="00692A0A" w:rsidRPr="00DF31EB">
        <w:rPr>
          <w:b/>
          <w:szCs w:val="22"/>
        </w:rPr>
        <w:t xml:space="preserve"> to reconsider</w:t>
      </w:r>
      <w:r w:rsidR="006C755E" w:rsidRPr="00DF31EB">
        <w:rPr>
          <w:b/>
          <w:szCs w:val="22"/>
        </w:rPr>
        <w:t xml:space="preserve"> the BSR solution for indicating new data arrival from non-SDT RBs</w:t>
      </w:r>
      <w:r w:rsidRPr="00DF31EB">
        <w:rPr>
          <w:b/>
          <w:szCs w:val="22"/>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02C483C" w:rsidR="0013458A" w:rsidRPr="00893EB1" w:rsidRDefault="0013458A" w:rsidP="00C76917">
      <w:pPr>
        <w:pStyle w:val="B1"/>
        <w:spacing w:after="120"/>
        <w:ind w:left="0" w:firstLine="0"/>
        <w:jc w:val="both"/>
        <w:rPr>
          <w:sz w:val="22"/>
          <w:szCs w:val="22"/>
          <w:lang w:eastAsia="ko-KR"/>
        </w:rPr>
      </w:pPr>
      <w:bookmarkStart w:id="4" w:name="_Toc502437832"/>
      <w:r w:rsidRPr="00893EB1">
        <w:rPr>
          <w:rFonts w:hint="eastAsia"/>
          <w:sz w:val="22"/>
          <w:szCs w:val="22"/>
          <w:lang w:eastAsia="ko-KR"/>
        </w:rPr>
        <w:t xml:space="preserve">In this </w:t>
      </w:r>
      <w:r w:rsidRPr="00893EB1">
        <w:rPr>
          <w:sz w:val="22"/>
          <w:szCs w:val="22"/>
          <w:lang w:eastAsia="ko-KR"/>
        </w:rPr>
        <w:t>contribution</w:t>
      </w:r>
      <w:r w:rsidRPr="00893EB1">
        <w:rPr>
          <w:rFonts w:hint="eastAsia"/>
          <w:sz w:val="22"/>
          <w:szCs w:val="22"/>
          <w:lang w:eastAsia="ko-KR"/>
        </w:rPr>
        <w:t xml:space="preserve">, </w:t>
      </w:r>
      <w:r w:rsidR="00005DC3" w:rsidRPr="00893EB1">
        <w:rPr>
          <w:sz w:val="22"/>
          <w:szCs w:val="22"/>
        </w:rPr>
        <w:t>we have provide</w:t>
      </w:r>
      <w:r w:rsidR="00782426" w:rsidRPr="00893EB1">
        <w:rPr>
          <w:sz w:val="22"/>
          <w:szCs w:val="22"/>
        </w:rPr>
        <w:t>d</w:t>
      </w:r>
      <w:r w:rsidR="00005DC3" w:rsidRPr="00893EB1">
        <w:rPr>
          <w:sz w:val="22"/>
          <w:szCs w:val="22"/>
        </w:rPr>
        <w:t xml:space="preserve"> </w:t>
      </w:r>
      <w:r w:rsidR="00A7486C" w:rsidRPr="00893EB1">
        <w:rPr>
          <w:sz w:val="22"/>
          <w:szCs w:val="22"/>
        </w:rPr>
        <w:t xml:space="preserve">our understanding </w:t>
      </w:r>
      <w:r w:rsidR="00011FF4" w:rsidRPr="00893EB1">
        <w:rPr>
          <w:sz w:val="22"/>
          <w:szCs w:val="22"/>
        </w:rPr>
        <w:t>on the handling of non-SDT data arrival.</w:t>
      </w:r>
      <w:r w:rsidR="004051D4" w:rsidRPr="00893EB1">
        <w:rPr>
          <w:sz w:val="22"/>
          <w:szCs w:val="22"/>
        </w:rPr>
        <w:t xml:space="preserve"> </w:t>
      </w:r>
      <w:r w:rsidR="00A72020" w:rsidRPr="00893EB1">
        <w:rPr>
          <w:sz w:val="22"/>
          <w:szCs w:val="22"/>
        </w:rPr>
        <w:t>T</w:t>
      </w:r>
      <w:r w:rsidR="00FA05F5" w:rsidRPr="00893EB1">
        <w:rPr>
          <w:sz w:val="22"/>
          <w:szCs w:val="22"/>
          <w:lang w:eastAsia="ko-KR"/>
        </w:rPr>
        <w:t>he following</w:t>
      </w:r>
      <w:r w:rsidR="00B110C6" w:rsidRPr="00893EB1">
        <w:rPr>
          <w:sz w:val="22"/>
          <w:szCs w:val="22"/>
          <w:lang w:eastAsia="ko-KR"/>
        </w:rPr>
        <w:t xml:space="preserve"> </w:t>
      </w:r>
      <w:r w:rsidRPr="00893EB1">
        <w:rPr>
          <w:rFonts w:hint="eastAsia"/>
          <w:sz w:val="22"/>
          <w:szCs w:val="22"/>
          <w:lang w:eastAsia="ko-KR"/>
        </w:rPr>
        <w:t>propos</w:t>
      </w:r>
      <w:r w:rsidR="0036238A" w:rsidRPr="00893EB1">
        <w:rPr>
          <w:sz w:val="22"/>
          <w:szCs w:val="22"/>
          <w:lang w:eastAsia="ko-KR"/>
        </w:rPr>
        <w:t>al</w:t>
      </w:r>
      <w:r w:rsidR="00A301B1" w:rsidRPr="00893EB1">
        <w:rPr>
          <w:sz w:val="22"/>
          <w:szCs w:val="22"/>
          <w:lang w:eastAsia="ko-KR"/>
        </w:rPr>
        <w:t>s are made</w:t>
      </w:r>
      <w:r w:rsidRPr="00893EB1">
        <w:rPr>
          <w:rFonts w:hint="eastAsia"/>
          <w:sz w:val="22"/>
          <w:szCs w:val="22"/>
          <w:lang w:eastAsia="ko-KR"/>
        </w:rPr>
        <w:t>:</w:t>
      </w:r>
    </w:p>
    <w:p w14:paraId="6B2BF785" w14:textId="2DB5295D" w:rsidR="00D03D56" w:rsidRDefault="00D03D56" w:rsidP="00D03D56">
      <w:pPr>
        <w:snapToGrid w:val="0"/>
        <w:spacing w:line="240" w:lineRule="auto"/>
        <w:rPr>
          <w:b/>
          <w:szCs w:val="22"/>
        </w:rPr>
      </w:pPr>
      <w:r w:rsidRPr="0072555E">
        <w:rPr>
          <w:b/>
          <w:szCs w:val="22"/>
        </w:rPr>
        <w:t>Proposal 1: If non-SDT data arrives before sending the first UL data packet but after triggering the SDT procedure, UE continues the ongoing SDT procedure and i</w:t>
      </w:r>
      <w:r w:rsidRPr="0072555E">
        <w:rPr>
          <w:rFonts w:eastAsia="Malgun Gothic"/>
          <w:b/>
          <w:noProof/>
          <w:szCs w:val="22"/>
          <w:lang w:eastAsia="ko-KR"/>
        </w:rPr>
        <w:t>ndicates the arrival of non-SDT data</w:t>
      </w:r>
      <w:r w:rsidRPr="0072555E">
        <w:rPr>
          <w:b/>
          <w:szCs w:val="22"/>
        </w:rPr>
        <w:t xml:space="preserve">. </w:t>
      </w:r>
    </w:p>
    <w:p w14:paraId="1A0094C7" w14:textId="674BDFBC" w:rsidR="003B615A" w:rsidRPr="00D21492" w:rsidRDefault="003B615A" w:rsidP="00D21492">
      <w:pPr>
        <w:spacing w:after="240" w:line="240" w:lineRule="auto"/>
        <w:rPr>
          <w:rFonts w:eastAsiaTheme="minorEastAsia"/>
          <w:b/>
        </w:rPr>
      </w:pPr>
      <w:r w:rsidRPr="00DF31EB">
        <w:rPr>
          <w:b/>
          <w:szCs w:val="22"/>
        </w:rPr>
        <w:t>Proposal 2: RAN2 to reconsider the BSR solution for indicating new data arrival from non-SDT RBs.</w:t>
      </w: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4"/>
    <w:p w14:paraId="2E5D227E" w14:textId="2CC36DAC"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C904C7">
        <w:t>3</w:t>
      </w:r>
      <w:r>
        <w:t xml:space="preserve">-e </w:t>
      </w:r>
      <w:r>
        <w:rPr>
          <w:noProof/>
        </w:rPr>
        <w:t>Session Chair Notes (</w:t>
      </w:r>
      <w:r>
        <w:t>Small data transmission).</w:t>
      </w:r>
      <w:r w:rsidRPr="009B7B3C">
        <w:rPr>
          <w:rFonts w:hint="eastAsia"/>
          <w:szCs w:val="22"/>
        </w:rPr>
        <w:t xml:space="preserve"> </w:t>
      </w:r>
    </w:p>
    <w:p w14:paraId="4C31D3CF" w14:textId="722189F6"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Small data transmission).</w:t>
      </w:r>
      <w:r w:rsidRPr="009B7B3C">
        <w:rPr>
          <w:rFonts w:hint="eastAsia"/>
          <w:szCs w:val="22"/>
        </w:rPr>
        <w:t xml:space="preserve"> </w:t>
      </w:r>
    </w:p>
    <w:p w14:paraId="2E77772C" w14:textId="08E12F1E" w:rsidR="00E4429F" w:rsidRPr="001F6199" w:rsidRDefault="005C0FA7" w:rsidP="007C55B7">
      <w:pPr>
        <w:snapToGrid w:val="0"/>
        <w:spacing w:beforeLines="50" w:before="120" w:afterLines="50" w:line="240" w:lineRule="auto"/>
        <w:jc w:val="left"/>
        <w:rPr>
          <w:rFonts w:eastAsia="Arial Unicode MS"/>
          <w:bCs/>
        </w:rPr>
      </w:pPr>
      <w:r w:rsidRPr="001F6199">
        <w:rPr>
          <w:rFonts w:eastAsia="Arial Unicode MS"/>
          <w:bCs/>
        </w:rPr>
        <w:t>[3] R2-2106642 Report of [AT114-</w:t>
      </w:r>
      <w:proofErr w:type="gramStart"/>
      <w:r w:rsidRPr="001F6199">
        <w:rPr>
          <w:rFonts w:eastAsia="Arial Unicode MS"/>
          <w:bCs/>
        </w:rPr>
        <w:t>e][</w:t>
      </w:r>
      <w:proofErr w:type="gramEnd"/>
      <w:r w:rsidRPr="001F6199">
        <w:rPr>
          <w:rFonts w:eastAsia="Arial Unicode MS"/>
          <w:bCs/>
        </w:rPr>
        <w:t>002][NR15] User Plane</w:t>
      </w:r>
      <w:r w:rsidR="00D64804">
        <w:rPr>
          <w:rFonts w:eastAsia="Arial Unicode MS"/>
          <w:bCs/>
        </w:rPr>
        <w:t>.</w:t>
      </w:r>
    </w:p>
    <w:p w14:paraId="0BB30751" w14:textId="23E0933F" w:rsidR="005C0FA7" w:rsidRPr="0046138D" w:rsidRDefault="0039783F" w:rsidP="007C55B7">
      <w:pPr>
        <w:snapToGrid w:val="0"/>
        <w:spacing w:beforeLines="50" w:before="120" w:afterLines="50" w:line="240" w:lineRule="auto"/>
        <w:jc w:val="left"/>
        <w:rPr>
          <w:szCs w:val="22"/>
          <w:lang w:val="en-US"/>
        </w:rPr>
      </w:pPr>
      <w:r>
        <w:rPr>
          <w:rFonts w:hint="eastAsia"/>
          <w:szCs w:val="22"/>
          <w:lang w:val="en-US"/>
        </w:rPr>
        <w:t>[</w:t>
      </w:r>
      <w:r>
        <w:rPr>
          <w:szCs w:val="22"/>
          <w:lang w:val="en-US"/>
        </w:rPr>
        <w:t>4]</w:t>
      </w:r>
      <w:r w:rsidR="00AA4891">
        <w:rPr>
          <w:szCs w:val="22"/>
          <w:lang w:val="en-US"/>
        </w:rPr>
        <w:t xml:space="preserve"> </w:t>
      </w:r>
      <w:r w:rsidR="00AA4891" w:rsidRPr="009B0716">
        <w:t>Draft R2-11</w:t>
      </w:r>
      <w:r w:rsidR="00AA4891">
        <w:t>5</w:t>
      </w:r>
      <w:r w:rsidR="00AA4891" w:rsidRPr="009B0716">
        <w:t>-e Meeting Report v</w:t>
      </w:r>
      <w:r w:rsidR="00AA4891">
        <w:t>1</w:t>
      </w:r>
      <w:r w:rsidR="00AA4891" w:rsidRPr="009B0716">
        <w:t>.</w:t>
      </w:r>
    </w:p>
    <w:sectPr w:rsidR="005C0FA7" w:rsidRPr="0046138D"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C2024" w14:textId="77777777" w:rsidR="00DB2255" w:rsidRDefault="00DB2255">
      <w:pPr>
        <w:spacing w:after="0" w:line="240" w:lineRule="auto"/>
      </w:pPr>
      <w:r>
        <w:separator/>
      </w:r>
    </w:p>
  </w:endnote>
  <w:endnote w:type="continuationSeparator" w:id="0">
    <w:p w14:paraId="3F28B649" w14:textId="77777777" w:rsidR="00DB2255" w:rsidRDefault="00DB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98B0A" w14:textId="77777777" w:rsidR="00DB2255" w:rsidRDefault="00DB2255">
      <w:pPr>
        <w:spacing w:after="0" w:line="240" w:lineRule="auto"/>
      </w:pPr>
      <w:r>
        <w:separator/>
      </w:r>
    </w:p>
  </w:footnote>
  <w:footnote w:type="continuationSeparator" w:id="0">
    <w:p w14:paraId="6E818177" w14:textId="77777777" w:rsidR="00DB2255" w:rsidRDefault="00DB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uTWgDHaAvW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1FF4"/>
    <w:rsid w:val="00012A76"/>
    <w:rsid w:val="00012F38"/>
    <w:rsid w:val="00013266"/>
    <w:rsid w:val="0001335F"/>
    <w:rsid w:val="0001365D"/>
    <w:rsid w:val="000137E2"/>
    <w:rsid w:val="00013818"/>
    <w:rsid w:val="000138AA"/>
    <w:rsid w:val="00013A3B"/>
    <w:rsid w:val="0001439C"/>
    <w:rsid w:val="000143D0"/>
    <w:rsid w:val="0001462E"/>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3A9"/>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5A6"/>
    <w:rsid w:val="000947CA"/>
    <w:rsid w:val="00094CD4"/>
    <w:rsid w:val="00095002"/>
    <w:rsid w:val="000952B2"/>
    <w:rsid w:val="000954A4"/>
    <w:rsid w:val="00095BC6"/>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7CD"/>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759"/>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BC0"/>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ACE"/>
    <w:rsid w:val="000D0CDA"/>
    <w:rsid w:val="000D0F00"/>
    <w:rsid w:val="000D1465"/>
    <w:rsid w:val="000D158E"/>
    <w:rsid w:val="000D16AE"/>
    <w:rsid w:val="000D1834"/>
    <w:rsid w:val="000D1BDC"/>
    <w:rsid w:val="000D2255"/>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53"/>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4E9"/>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49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902"/>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6FDC"/>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09"/>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87F18"/>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0F15"/>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0EFC"/>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AD"/>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0D25"/>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199"/>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1F"/>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4DA"/>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2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132"/>
    <w:rsid w:val="00232465"/>
    <w:rsid w:val="00232771"/>
    <w:rsid w:val="0023295A"/>
    <w:rsid w:val="00232FC4"/>
    <w:rsid w:val="002330AF"/>
    <w:rsid w:val="0023354D"/>
    <w:rsid w:val="0023377D"/>
    <w:rsid w:val="002337C7"/>
    <w:rsid w:val="0023403F"/>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3C0"/>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8EB"/>
    <w:rsid w:val="00250965"/>
    <w:rsid w:val="00250C0F"/>
    <w:rsid w:val="00250E21"/>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4DD"/>
    <w:rsid w:val="00253C97"/>
    <w:rsid w:val="00253EE0"/>
    <w:rsid w:val="00254146"/>
    <w:rsid w:val="002541E8"/>
    <w:rsid w:val="00254CD9"/>
    <w:rsid w:val="00254E8A"/>
    <w:rsid w:val="00254FC4"/>
    <w:rsid w:val="0025537A"/>
    <w:rsid w:val="002553EB"/>
    <w:rsid w:val="0025541E"/>
    <w:rsid w:val="00256492"/>
    <w:rsid w:val="0025678A"/>
    <w:rsid w:val="0025687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506D"/>
    <w:rsid w:val="00265512"/>
    <w:rsid w:val="00265515"/>
    <w:rsid w:val="00265894"/>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48E"/>
    <w:rsid w:val="002A4732"/>
    <w:rsid w:val="002A4B65"/>
    <w:rsid w:val="002A4CCD"/>
    <w:rsid w:val="002A4DD0"/>
    <w:rsid w:val="002A4EFB"/>
    <w:rsid w:val="002A530D"/>
    <w:rsid w:val="002A534B"/>
    <w:rsid w:val="002A5539"/>
    <w:rsid w:val="002A56FC"/>
    <w:rsid w:val="002A5921"/>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17"/>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E0"/>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07A"/>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34E"/>
    <w:rsid w:val="003616FB"/>
    <w:rsid w:val="00361E9B"/>
    <w:rsid w:val="00361F5B"/>
    <w:rsid w:val="003621B2"/>
    <w:rsid w:val="0036238A"/>
    <w:rsid w:val="00362A41"/>
    <w:rsid w:val="00362B2C"/>
    <w:rsid w:val="00362E4C"/>
    <w:rsid w:val="00363525"/>
    <w:rsid w:val="0036356E"/>
    <w:rsid w:val="00363584"/>
    <w:rsid w:val="003635DD"/>
    <w:rsid w:val="003642B8"/>
    <w:rsid w:val="0036492A"/>
    <w:rsid w:val="00364A2B"/>
    <w:rsid w:val="00364E23"/>
    <w:rsid w:val="00364F9F"/>
    <w:rsid w:val="00365204"/>
    <w:rsid w:val="00365297"/>
    <w:rsid w:val="003652C2"/>
    <w:rsid w:val="00365440"/>
    <w:rsid w:val="0036598B"/>
    <w:rsid w:val="00365A5E"/>
    <w:rsid w:val="0036656F"/>
    <w:rsid w:val="00366701"/>
    <w:rsid w:val="0036697E"/>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B1"/>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05F"/>
    <w:rsid w:val="003942C4"/>
    <w:rsid w:val="00394623"/>
    <w:rsid w:val="00394836"/>
    <w:rsid w:val="00394C63"/>
    <w:rsid w:val="00394F3D"/>
    <w:rsid w:val="003950F4"/>
    <w:rsid w:val="003951F4"/>
    <w:rsid w:val="003952B6"/>
    <w:rsid w:val="00395985"/>
    <w:rsid w:val="00395C5D"/>
    <w:rsid w:val="003965E3"/>
    <w:rsid w:val="00397338"/>
    <w:rsid w:val="00397774"/>
    <w:rsid w:val="0039783F"/>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15A"/>
    <w:rsid w:val="003B6557"/>
    <w:rsid w:val="003B6933"/>
    <w:rsid w:val="003B716C"/>
    <w:rsid w:val="003B75DA"/>
    <w:rsid w:val="003B7ABF"/>
    <w:rsid w:val="003B7E6D"/>
    <w:rsid w:val="003B7E97"/>
    <w:rsid w:val="003C02F1"/>
    <w:rsid w:val="003C0AB9"/>
    <w:rsid w:val="003C2222"/>
    <w:rsid w:val="003C2328"/>
    <w:rsid w:val="003C25A0"/>
    <w:rsid w:val="003C2605"/>
    <w:rsid w:val="003C280A"/>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3900"/>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6E8"/>
    <w:rsid w:val="00430A76"/>
    <w:rsid w:val="00430A99"/>
    <w:rsid w:val="00430FCC"/>
    <w:rsid w:val="00431742"/>
    <w:rsid w:val="00431776"/>
    <w:rsid w:val="00431876"/>
    <w:rsid w:val="00431A47"/>
    <w:rsid w:val="00431D8A"/>
    <w:rsid w:val="0043202C"/>
    <w:rsid w:val="0043223C"/>
    <w:rsid w:val="00432359"/>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8"/>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7"/>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4B1"/>
    <w:rsid w:val="004806C5"/>
    <w:rsid w:val="00480703"/>
    <w:rsid w:val="004807C5"/>
    <w:rsid w:val="00480828"/>
    <w:rsid w:val="004809A5"/>
    <w:rsid w:val="00480E69"/>
    <w:rsid w:val="004813F4"/>
    <w:rsid w:val="0048180B"/>
    <w:rsid w:val="00481883"/>
    <w:rsid w:val="00481AA5"/>
    <w:rsid w:val="00481B41"/>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06C"/>
    <w:rsid w:val="004954D9"/>
    <w:rsid w:val="00495AA0"/>
    <w:rsid w:val="00495B6C"/>
    <w:rsid w:val="00495B71"/>
    <w:rsid w:val="00495C2B"/>
    <w:rsid w:val="00496A1C"/>
    <w:rsid w:val="00496A3F"/>
    <w:rsid w:val="00496D89"/>
    <w:rsid w:val="00496DB0"/>
    <w:rsid w:val="004970C3"/>
    <w:rsid w:val="00497466"/>
    <w:rsid w:val="00497489"/>
    <w:rsid w:val="00497C18"/>
    <w:rsid w:val="004A05CC"/>
    <w:rsid w:val="004A07D5"/>
    <w:rsid w:val="004A0961"/>
    <w:rsid w:val="004A0AC6"/>
    <w:rsid w:val="004A13AB"/>
    <w:rsid w:val="004A170C"/>
    <w:rsid w:val="004A18ED"/>
    <w:rsid w:val="004A19E8"/>
    <w:rsid w:val="004A1BFE"/>
    <w:rsid w:val="004A1D04"/>
    <w:rsid w:val="004A21E6"/>
    <w:rsid w:val="004A240F"/>
    <w:rsid w:val="004A2450"/>
    <w:rsid w:val="004A24B8"/>
    <w:rsid w:val="004A24F9"/>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B5"/>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85C"/>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8D8"/>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4EE6"/>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A04"/>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7DA"/>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B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0FA7"/>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5DB5"/>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0CD"/>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5D73"/>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110"/>
    <w:rsid w:val="005F226E"/>
    <w:rsid w:val="005F2BB7"/>
    <w:rsid w:val="005F2DBC"/>
    <w:rsid w:val="005F2FEF"/>
    <w:rsid w:val="005F3856"/>
    <w:rsid w:val="005F412B"/>
    <w:rsid w:val="005F4482"/>
    <w:rsid w:val="005F4777"/>
    <w:rsid w:val="005F47DE"/>
    <w:rsid w:val="005F4A98"/>
    <w:rsid w:val="005F5E65"/>
    <w:rsid w:val="005F5ECB"/>
    <w:rsid w:val="005F5EE0"/>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4"/>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60603"/>
    <w:rsid w:val="0066060B"/>
    <w:rsid w:val="00660989"/>
    <w:rsid w:val="00660BE3"/>
    <w:rsid w:val="00660D61"/>
    <w:rsid w:val="00660E3F"/>
    <w:rsid w:val="00661220"/>
    <w:rsid w:val="006613C8"/>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A0A"/>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417"/>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4"/>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0DF"/>
    <w:rsid w:val="006C320A"/>
    <w:rsid w:val="006C3400"/>
    <w:rsid w:val="006C4033"/>
    <w:rsid w:val="006C438B"/>
    <w:rsid w:val="006C441F"/>
    <w:rsid w:val="006C488C"/>
    <w:rsid w:val="006C4A13"/>
    <w:rsid w:val="006C4D12"/>
    <w:rsid w:val="006C53B0"/>
    <w:rsid w:val="006C5520"/>
    <w:rsid w:val="006C5817"/>
    <w:rsid w:val="006C5A3F"/>
    <w:rsid w:val="006C5B95"/>
    <w:rsid w:val="006C5BDD"/>
    <w:rsid w:val="006C5C38"/>
    <w:rsid w:val="006C643D"/>
    <w:rsid w:val="006C6932"/>
    <w:rsid w:val="006C6D72"/>
    <w:rsid w:val="006C6D8F"/>
    <w:rsid w:val="006C6EEB"/>
    <w:rsid w:val="006C7434"/>
    <w:rsid w:val="006C755E"/>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58"/>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7F8"/>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A61"/>
    <w:rsid w:val="00714D35"/>
    <w:rsid w:val="007153AB"/>
    <w:rsid w:val="00715460"/>
    <w:rsid w:val="00715481"/>
    <w:rsid w:val="007158AA"/>
    <w:rsid w:val="007158D5"/>
    <w:rsid w:val="00715CAF"/>
    <w:rsid w:val="00715F6E"/>
    <w:rsid w:val="0071600E"/>
    <w:rsid w:val="007162B8"/>
    <w:rsid w:val="00716710"/>
    <w:rsid w:val="007168EA"/>
    <w:rsid w:val="00716B3A"/>
    <w:rsid w:val="007170EC"/>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55E"/>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AAA"/>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B4"/>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05"/>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691"/>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6EA"/>
    <w:rsid w:val="007828D4"/>
    <w:rsid w:val="0078297C"/>
    <w:rsid w:val="0078326A"/>
    <w:rsid w:val="007832C3"/>
    <w:rsid w:val="00783363"/>
    <w:rsid w:val="0078362B"/>
    <w:rsid w:val="007843D1"/>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388"/>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395F"/>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16D"/>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EE0"/>
    <w:rsid w:val="007F0F11"/>
    <w:rsid w:val="007F11D2"/>
    <w:rsid w:val="007F154E"/>
    <w:rsid w:val="007F15EE"/>
    <w:rsid w:val="007F16DF"/>
    <w:rsid w:val="007F198D"/>
    <w:rsid w:val="007F19AD"/>
    <w:rsid w:val="007F1FB5"/>
    <w:rsid w:val="007F238D"/>
    <w:rsid w:val="007F2427"/>
    <w:rsid w:val="007F28B4"/>
    <w:rsid w:val="007F2CD0"/>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AFF"/>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EB6"/>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B64"/>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3EB1"/>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8DB"/>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62"/>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1F3"/>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9DA"/>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616"/>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5A7D"/>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6C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0EC9"/>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05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1"/>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C7F82"/>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714"/>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3B42"/>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4D6B"/>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5E91"/>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2F0"/>
    <w:rsid w:val="00A7234F"/>
    <w:rsid w:val="00A724B5"/>
    <w:rsid w:val="00A72D7E"/>
    <w:rsid w:val="00A72EF2"/>
    <w:rsid w:val="00A730CE"/>
    <w:rsid w:val="00A730E4"/>
    <w:rsid w:val="00A730ED"/>
    <w:rsid w:val="00A7320C"/>
    <w:rsid w:val="00A73C6A"/>
    <w:rsid w:val="00A742DF"/>
    <w:rsid w:val="00A7435B"/>
    <w:rsid w:val="00A74475"/>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85D"/>
    <w:rsid w:val="00A91A24"/>
    <w:rsid w:val="00A91C57"/>
    <w:rsid w:val="00A91F45"/>
    <w:rsid w:val="00A91F90"/>
    <w:rsid w:val="00A92B25"/>
    <w:rsid w:val="00A92F66"/>
    <w:rsid w:val="00A932FB"/>
    <w:rsid w:val="00A93453"/>
    <w:rsid w:val="00A9382D"/>
    <w:rsid w:val="00A9418D"/>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ABC"/>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891"/>
    <w:rsid w:val="00AA4A54"/>
    <w:rsid w:val="00AA4B6E"/>
    <w:rsid w:val="00AA4E8B"/>
    <w:rsid w:val="00AA4F57"/>
    <w:rsid w:val="00AA61E6"/>
    <w:rsid w:val="00AA631E"/>
    <w:rsid w:val="00AA65EF"/>
    <w:rsid w:val="00AA6B4B"/>
    <w:rsid w:val="00AA6D0F"/>
    <w:rsid w:val="00AA7363"/>
    <w:rsid w:val="00AA74D9"/>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D41"/>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3D4B"/>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D5E"/>
    <w:rsid w:val="00AF7D67"/>
    <w:rsid w:val="00B005DD"/>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B5A"/>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B61"/>
    <w:rsid w:val="00B45CF8"/>
    <w:rsid w:val="00B45D32"/>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71A"/>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17B4"/>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224"/>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B9C"/>
    <w:rsid w:val="00BB4C04"/>
    <w:rsid w:val="00BB4ED1"/>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2C64"/>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E6C"/>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5E5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5D"/>
    <w:rsid w:val="00BF2CC9"/>
    <w:rsid w:val="00BF3205"/>
    <w:rsid w:val="00BF3D0B"/>
    <w:rsid w:val="00BF3EE6"/>
    <w:rsid w:val="00BF3F7C"/>
    <w:rsid w:val="00BF4136"/>
    <w:rsid w:val="00BF453B"/>
    <w:rsid w:val="00BF4604"/>
    <w:rsid w:val="00BF49BC"/>
    <w:rsid w:val="00BF4BC3"/>
    <w:rsid w:val="00BF4F32"/>
    <w:rsid w:val="00BF5096"/>
    <w:rsid w:val="00BF522B"/>
    <w:rsid w:val="00BF5770"/>
    <w:rsid w:val="00BF57BC"/>
    <w:rsid w:val="00BF58DA"/>
    <w:rsid w:val="00BF5A8D"/>
    <w:rsid w:val="00BF5F58"/>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ABD"/>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62DD"/>
    <w:rsid w:val="00C26365"/>
    <w:rsid w:val="00C26947"/>
    <w:rsid w:val="00C26AA9"/>
    <w:rsid w:val="00C26B66"/>
    <w:rsid w:val="00C26C05"/>
    <w:rsid w:val="00C26E36"/>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2A70"/>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28CC"/>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4C7"/>
    <w:rsid w:val="00C9063C"/>
    <w:rsid w:val="00C906E8"/>
    <w:rsid w:val="00C9086C"/>
    <w:rsid w:val="00C90924"/>
    <w:rsid w:val="00C90D14"/>
    <w:rsid w:val="00C90F5A"/>
    <w:rsid w:val="00C91136"/>
    <w:rsid w:val="00C9194F"/>
    <w:rsid w:val="00C919D5"/>
    <w:rsid w:val="00C91C93"/>
    <w:rsid w:val="00C91D0F"/>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B57"/>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25C"/>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954"/>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3D5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492"/>
    <w:rsid w:val="00D218C1"/>
    <w:rsid w:val="00D21E5F"/>
    <w:rsid w:val="00D21EF1"/>
    <w:rsid w:val="00D220AF"/>
    <w:rsid w:val="00D22128"/>
    <w:rsid w:val="00D2224D"/>
    <w:rsid w:val="00D223C4"/>
    <w:rsid w:val="00D22710"/>
    <w:rsid w:val="00D22941"/>
    <w:rsid w:val="00D23119"/>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87C"/>
    <w:rsid w:val="00D32C1A"/>
    <w:rsid w:val="00D32D7F"/>
    <w:rsid w:val="00D330E1"/>
    <w:rsid w:val="00D336AD"/>
    <w:rsid w:val="00D33810"/>
    <w:rsid w:val="00D33890"/>
    <w:rsid w:val="00D33A02"/>
    <w:rsid w:val="00D33A96"/>
    <w:rsid w:val="00D34610"/>
    <w:rsid w:val="00D34A7F"/>
    <w:rsid w:val="00D34C88"/>
    <w:rsid w:val="00D34CC6"/>
    <w:rsid w:val="00D34D20"/>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29A"/>
    <w:rsid w:val="00D476BE"/>
    <w:rsid w:val="00D4776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95A"/>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804"/>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C7C"/>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A1"/>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84"/>
    <w:rsid w:val="00DB2095"/>
    <w:rsid w:val="00DB225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87"/>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4E7"/>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1EB"/>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4F1"/>
    <w:rsid w:val="00E01941"/>
    <w:rsid w:val="00E01DD2"/>
    <w:rsid w:val="00E01E55"/>
    <w:rsid w:val="00E02207"/>
    <w:rsid w:val="00E02374"/>
    <w:rsid w:val="00E02C11"/>
    <w:rsid w:val="00E02E6F"/>
    <w:rsid w:val="00E034C5"/>
    <w:rsid w:val="00E03637"/>
    <w:rsid w:val="00E03BAA"/>
    <w:rsid w:val="00E03C94"/>
    <w:rsid w:val="00E03D8C"/>
    <w:rsid w:val="00E04CE2"/>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D1"/>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BAF"/>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806"/>
    <w:rsid w:val="00E42CEC"/>
    <w:rsid w:val="00E42CFF"/>
    <w:rsid w:val="00E42DAB"/>
    <w:rsid w:val="00E42E19"/>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3A5"/>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6C3"/>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2DF"/>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AC7"/>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279"/>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8BF"/>
    <w:rsid w:val="00F37930"/>
    <w:rsid w:val="00F37D4F"/>
    <w:rsid w:val="00F37D7C"/>
    <w:rsid w:val="00F37EED"/>
    <w:rsid w:val="00F4003D"/>
    <w:rsid w:val="00F40146"/>
    <w:rsid w:val="00F401C2"/>
    <w:rsid w:val="00F40985"/>
    <w:rsid w:val="00F40F5D"/>
    <w:rsid w:val="00F41A24"/>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4C"/>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380"/>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330B"/>
    <w:rsid w:val="00F846CA"/>
    <w:rsid w:val="00F84ECE"/>
    <w:rsid w:val="00F851B9"/>
    <w:rsid w:val="00F857A4"/>
    <w:rsid w:val="00F85827"/>
    <w:rsid w:val="00F85D28"/>
    <w:rsid w:val="00F85EAB"/>
    <w:rsid w:val="00F8617B"/>
    <w:rsid w:val="00F86209"/>
    <w:rsid w:val="00F866B7"/>
    <w:rsid w:val="00F867C1"/>
    <w:rsid w:val="00F869A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B81"/>
    <w:rsid w:val="00F93D3F"/>
    <w:rsid w:val="00F942CE"/>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693"/>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4F8"/>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4DB6"/>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uiPriority w:val="99"/>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4719895">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FC6A9-68D2-457C-A0DD-FD5E174C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599</cp:revision>
  <cp:lastPrinted>2018-04-04T09:40:00Z</cp:lastPrinted>
  <dcterms:created xsi:type="dcterms:W3CDTF">2021-01-15T06:03:00Z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